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A9" w:rsidRDefault="004034A9" w:rsidP="004034A9">
      <w:pPr>
        <w:pStyle w:val="Ttulo2"/>
        <w:rPr>
          <w:sz w:val="24"/>
        </w:rPr>
      </w:pPr>
    </w:p>
    <w:p w:rsidR="00DA47C4" w:rsidRPr="00D12E5A" w:rsidRDefault="004034A9" w:rsidP="004034A9">
      <w:pPr>
        <w:pStyle w:val="Ttulo2"/>
        <w:rPr>
          <w:sz w:val="24"/>
        </w:rPr>
      </w:pPr>
      <w:r>
        <w:rPr>
          <w:sz w:val="24"/>
        </w:rPr>
        <w:t xml:space="preserve">Nombre de </w:t>
      </w:r>
      <w:r w:rsidR="00DA47C4" w:rsidRPr="00D12E5A">
        <w:rPr>
          <w:sz w:val="24"/>
        </w:rPr>
        <w:t xml:space="preserve">la ponencia: </w:t>
      </w:r>
      <w:r w:rsidR="00A21FB6">
        <w:rPr>
          <w:sz w:val="24"/>
        </w:rPr>
        <w:t xml:space="preserve">Presentación de </w:t>
      </w:r>
      <w:r w:rsidR="00652887">
        <w:rPr>
          <w:sz w:val="24"/>
        </w:rPr>
        <w:t>experiencias gubernamentales</w:t>
      </w:r>
    </w:p>
    <w:p w:rsidR="00DA47C4" w:rsidRPr="00D12E5A" w:rsidRDefault="00DA47C4" w:rsidP="004034A9">
      <w:pPr>
        <w:pStyle w:val="Ttulo2"/>
        <w:rPr>
          <w:sz w:val="24"/>
        </w:rPr>
      </w:pPr>
      <w:r w:rsidRPr="00D12E5A">
        <w:rPr>
          <w:sz w:val="24"/>
        </w:rPr>
        <w:t>Persona ponente:</w:t>
      </w:r>
      <w:r w:rsidR="00A21FB6">
        <w:rPr>
          <w:sz w:val="24"/>
        </w:rPr>
        <w:t xml:space="preserve"> CRESUR, CGEIB, SEP media superior y superior, CONAFE y SIPINA.</w:t>
      </w:r>
    </w:p>
    <w:p w:rsidR="00DA47C4" w:rsidRPr="00D12E5A" w:rsidRDefault="00DA47C4" w:rsidP="004034A9">
      <w:pPr>
        <w:pStyle w:val="Ttulo2"/>
        <w:rPr>
          <w:sz w:val="24"/>
        </w:rPr>
      </w:pPr>
      <w:r w:rsidRPr="00D12E5A">
        <w:rPr>
          <w:sz w:val="24"/>
        </w:rPr>
        <w:t xml:space="preserve">Persona que realiza relatoría: </w:t>
      </w:r>
      <w:r w:rsidR="00A21FB6">
        <w:rPr>
          <w:sz w:val="24"/>
        </w:rPr>
        <w:t>Gabriela Rodríguez Blanco/CREFAL.</w:t>
      </w:r>
    </w:p>
    <w:p w:rsidR="00D12E5A" w:rsidRPr="00D12E5A" w:rsidRDefault="00D12E5A" w:rsidP="004034A9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</w:pPr>
      <w:r w:rsidRPr="00D12E5A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 xml:space="preserve">Fecha: </w:t>
      </w:r>
      <w:r w:rsidR="00A21FB6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>8 de marzo de 2018.</w:t>
      </w:r>
    </w:p>
    <w:tbl>
      <w:tblPr>
        <w:tblStyle w:val="Tablaconcuadrcula"/>
        <w:tblW w:w="9981" w:type="dxa"/>
        <w:tblInd w:w="-326" w:type="dxa"/>
        <w:tblLook w:val="04A0" w:firstRow="1" w:lastRow="0" w:firstColumn="1" w:lastColumn="0" w:noHBand="0" w:noVBand="1"/>
      </w:tblPr>
      <w:tblGrid>
        <w:gridCol w:w="9981"/>
      </w:tblGrid>
      <w:tr w:rsidR="00DA47C4" w:rsidTr="001C5178">
        <w:trPr>
          <w:trHeight w:val="524"/>
        </w:trPr>
        <w:tc>
          <w:tcPr>
            <w:tcW w:w="9981" w:type="dxa"/>
          </w:tcPr>
          <w:p w:rsidR="00DA47C4" w:rsidRPr="003F242D" w:rsidRDefault="00DA47C4" w:rsidP="003F242D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3F242D">
              <w:rPr>
                <w:b/>
              </w:rPr>
              <w:t>Tema principal de la exposición</w:t>
            </w:r>
            <w:r w:rsidR="00B97624" w:rsidRPr="003F242D">
              <w:rPr>
                <w:b/>
              </w:rPr>
              <w:t xml:space="preserve"> por institución:</w:t>
            </w:r>
          </w:p>
          <w:p w:rsidR="00652887" w:rsidRDefault="00652887" w:rsidP="00CC4A78">
            <w:pPr>
              <w:jc w:val="both"/>
            </w:pPr>
          </w:p>
          <w:p w:rsidR="00B97624" w:rsidRPr="00242E46" w:rsidRDefault="00B97624" w:rsidP="00CC4A78">
            <w:pPr>
              <w:jc w:val="both"/>
              <w:rPr>
                <w:b/>
              </w:rPr>
            </w:pPr>
            <w:r w:rsidRPr="00242E46">
              <w:rPr>
                <w:b/>
              </w:rPr>
              <w:t>CRESUR:</w:t>
            </w:r>
          </w:p>
          <w:p w:rsidR="00652887" w:rsidRDefault="00E8188C" w:rsidP="00CC4A78">
            <w:pPr>
              <w:jc w:val="both"/>
            </w:pPr>
            <w:r>
              <w:t xml:space="preserve">Trabaja </w:t>
            </w:r>
            <w:r w:rsidR="00652887">
              <w:t xml:space="preserve">3 </w:t>
            </w:r>
            <w:r w:rsidR="006F4EEB">
              <w:t>temáticas</w:t>
            </w:r>
            <w:r w:rsidR="00264B8A">
              <w:t>; Inclusión, formación docente e Investigación:</w:t>
            </w:r>
          </w:p>
          <w:p w:rsidR="00264B8A" w:rsidRDefault="00264B8A" w:rsidP="00CC4A78">
            <w:pPr>
              <w:jc w:val="both"/>
            </w:pPr>
          </w:p>
          <w:p w:rsidR="00E8188C" w:rsidRDefault="00E8188C" w:rsidP="00CC4A78">
            <w:pPr>
              <w:jc w:val="both"/>
            </w:pPr>
            <w:r>
              <w:t xml:space="preserve">Durante el 2014 se elaboraron unas guías, las cuales tienen la intención de proporcionar a las y los docentes herramientas que les permita a atender a niñas, niños y adolescentes con discapacidad dentro de su aula. </w:t>
            </w:r>
            <w:r w:rsidR="00264B8A">
              <w:t>También contienen información básica sobre discapacidad y derechos humanos</w:t>
            </w:r>
            <w:r w:rsidR="006D42D9">
              <w:t>, así como e</w:t>
            </w:r>
            <w:r w:rsidR="006D42D9" w:rsidRPr="006D42D9">
              <w:t>xperiencias de docentes que han trabajado con niños y niñas con discapacidad</w:t>
            </w:r>
          </w:p>
          <w:p w:rsidR="00E8188C" w:rsidRDefault="00E8188C" w:rsidP="00CC4A78">
            <w:pPr>
              <w:pStyle w:val="Prrafodelista"/>
              <w:jc w:val="both"/>
            </w:pPr>
          </w:p>
          <w:p w:rsidR="006F4EEB" w:rsidRDefault="006D42D9" w:rsidP="00CC4A78">
            <w:pPr>
              <w:jc w:val="both"/>
            </w:pPr>
            <w:r>
              <w:t xml:space="preserve">En </w:t>
            </w:r>
            <w:r w:rsidR="00DD60DA">
              <w:t xml:space="preserve">ese mismo año se llevó acabo los </w:t>
            </w:r>
            <w:r w:rsidR="00E8188C">
              <w:t>seminarios de “Inclusión y familia”</w:t>
            </w:r>
            <w:r w:rsidR="00DD60DA">
              <w:t xml:space="preserve"> para brindar una formación continua a los profesores. </w:t>
            </w:r>
            <w:r w:rsidR="006F4EEB">
              <w:t xml:space="preserve"> </w:t>
            </w:r>
          </w:p>
          <w:p w:rsidR="006F4EEB" w:rsidRDefault="006F4EEB" w:rsidP="00CC4A78">
            <w:pPr>
              <w:pStyle w:val="Prrafodelista"/>
              <w:jc w:val="both"/>
            </w:pPr>
          </w:p>
          <w:p w:rsidR="00DD60DA" w:rsidRDefault="00DD60DA" w:rsidP="00CC4A78">
            <w:pPr>
              <w:jc w:val="both"/>
            </w:pPr>
            <w:r>
              <w:t>A través de materiales y seminarios CRESUR ha promovido la construcción de una red en la que participen los agentes educativos y se obtiene un certificado de participación.</w:t>
            </w:r>
          </w:p>
          <w:p w:rsidR="00543BF9" w:rsidRDefault="00543BF9" w:rsidP="00CC4A78">
            <w:pPr>
              <w:jc w:val="both"/>
            </w:pPr>
          </w:p>
          <w:p w:rsidR="00652887" w:rsidRDefault="00652887" w:rsidP="00CC4A78">
            <w:pPr>
              <w:jc w:val="both"/>
            </w:pPr>
          </w:p>
          <w:p w:rsidR="00E8188C" w:rsidRPr="00242E46" w:rsidRDefault="00242E46" w:rsidP="00CC4A78">
            <w:pPr>
              <w:jc w:val="both"/>
              <w:rPr>
                <w:b/>
              </w:rPr>
            </w:pPr>
            <w:r w:rsidRPr="00242E46">
              <w:rPr>
                <w:b/>
              </w:rPr>
              <w:t>CGEIB:</w:t>
            </w:r>
          </w:p>
          <w:p w:rsidR="00995753" w:rsidRDefault="00242E46" w:rsidP="00CC4A78">
            <w:pPr>
              <w:jc w:val="both"/>
            </w:pPr>
            <w:r>
              <w:t xml:space="preserve">Esta institución </w:t>
            </w:r>
            <w:proofErr w:type="spellStart"/>
            <w:r>
              <w:t>transversaliza</w:t>
            </w:r>
            <w:proofErr w:type="spellEnd"/>
            <w:r w:rsidR="00254290">
              <w:t xml:space="preserve"> la intercul</w:t>
            </w:r>
            <w:r>
              <w:t>turali</w:t>
            </w:r>
            <w:r w:rsidR="00254290">
              <w:t>dad en el SEN y en el ámbito no formal.</w:t>
            </w:r>
            <w:r>
              <w:t xml:space="preserve"> Y su e</w:t>
            </w:r>
            <w:r w:rsidR="00254290">
              <w:t>je central es el Dialogo de saberes para el fortalecimiento comunitario</w:t>
            </w:r>
            <w:r w:rsidR="00995753">
              <w:t xml:space="preserve">: metodología de la construcción de </w:t>
            </w:r>
            <w:r>
              <w:t>relaciones</w:t>
            </w:r>
            <w:r w:rsidR="00995753">
              <w:t xml:space="preserve"> sociales.</w:t>
            </w:r>
          </w:p>
          <w:p w:rsidR="00242E46" w:rsidRDefault="000E0291" w:rsidP="00CC4A78">
            <w:pPr>
              <w:jc w:val="both"/>
            </w:pPr>
            <w:r>
              <w:t>Proyecto en Orizaba que conforma 14 escuelas donde se abordó el tema de interculturalidad (2015) y s</w:t>
            </w:r>
            <w:r w:rsidR="00254290">
              <w:t xml:space="preserve">e aplicado en diferentes contextos </w:t>
            </w:r>
            <w:r w:rsidR="00242E46">
              <w:t xml:space="preserve">y un ejemplo de ello es la Escuela de educación indígena No. 832 en Veracruz. </w:t>
            </w:r>
          </w:p>
          <w:p w:rsidR="00242E46" w:rsidRDefault="00242E46" w:rsidP="00DD492F">
            <w:pPr>
              <w:jc w:val="both"/>
            </w:pPr>
          </w:p>
          <w:p w:rsidR="00995753" w:rsidRDefault="00242E46" w:rsidP="00DD492F">
            <w:pPr>
              <w:jc w:val="both"/>
            </w:pPr>
            <w:r>
              <w:t>En esta escuela se implementan t</w:t>
            </w:r>
            <w:r w:rsidR="00254290">
              <w:t xml:space="preserve">alleres con enfoque </w:t>
            </w:r>
            <w:proofErr w:type="spellStart"/>
            <w:r>
              <w:t>intracultural</w:t>
            </w:r>
            <w:proofErr w:type="spellEnd"/>
            <w:r>
              <w:t xml:space="preserve"> y tiene como objetivo la identificación de saberes, i</w:t>
            </w:r>
            <w:r w:rsidR="00995753">
              <w:t>mplementación de proy</w:t>
            </w:r>
            <w:r>
              <w:t>ect</w:t>
            </w:r>
            <w:r w:rsidR="00995753">
              <w:t>os</w:t>
            </w:r>
            <w:r>
              <w:t>, así como de jornadas d</w:t>
            </w:r>
            <w:r w:rsidR="00995753">
              <w:t xml:space="preserve">e reflexión y recuperación de </w:t>
            </w:r>
            <w:r>
              <w:t>aprendizajes</w:t>
            </w:r>
            <w:r w:rsidR="00706D6B">
              <w:t>,</w:t>
            </w:r>
            <w:r w:rsidR="00995753">
              <w:t xml:space="preserve"> con respecto a los procesos que se implementaron para los proyectos son 5 </w:t>
            </w:r>
            <w:r w:rsidR="00706D6B">
              <w:t xml:space="preserve">maíz, carbón, </w:t>
            </w:r>
            <w:r w:rsidR="00995753">
              <w:t xml:space="preserve">plantas medicinales. </w:t>
            </w:r>
          </w:p>
          <w:p w:rsidR="000E0291" w:rsidRDefault="000E0291" w:rsidP="00DD492F">
            <w:pPr>
              <w:jc w:val="both"/>
            </w:pPr>
          </w:p>
          <w:p w:rsidR="00DD492F" w:rsidRDefault="000E0291" w:rsidP="00DD492F">
            <w:pPr>
              <w:jc w:val="both"/>
            </w:pPr>
            <w:r>
              <w:t>Es decir que se realiza en tres etapas, en la primera son talleres, en la segunda etapa se realiza una propuesta de metodología dentro de la comunidad con proyectos y la tercera se hacen jornadas de reflexión sobre lo que se logró y/o aprendió.</w:t>
            </w:r>
            <w:r w:rsidR="00DD492F">
              <w:t xml:space="preserve"> Se lograron formar relaciones interpersonales para lograr que hubiera una participación por igual entre hombres y mujeres y acabar con roles de género.</w:t>
            </w:r>
          </w:p>
          <w:p w:rsidR="00706D6B" w:rsidRDefault="00706D6B" w:rsidP="00CC4A78">
            <w:pPr>
              <w:jc w:val="both"/>
            </w:pPr>
          </w:p>
          <w:p w:rsidR="00652887" w:rsidRDefault="00652887" w:rsidP="00CC4A78">
            <w:pPr>
              <w:jc w:val="both"/>
            </w:pPr>
          </w:p>
          <w:p w:rsidR="00652887" w:rsidRPr="00936FE1" w:rsidRDefault="00652887" w:rsidP="00CC4A78">
            <w:pPr>
              <w:jc w:val="both"/>
              <w:rPr>
                <w:b/>
              </w:rPr>
            </w:pPr>
            <w:proofErr w:type="spellStart"/>
            <w:r w:rsidRPr="00936FE1">
              <w:rPr>
                <w:b/>
              </w:rPr>
              <w:t>Sep</w:t>
            </w:r>
            <w:proofErr w:type="spellEnd"/>
            <w:r w:rsidRPr="00936FE1">
              <w:rPr>
                <w:b/>
              </w:rPr>
              <w:t xml:space="preserve"> media superior y superior</w:t>
            </w:r>
          </w:p>
          <w:p w:rsidR="00BF4A63" w:rsidRDefault="00BF4A63" w:rsidP="00CC4A78">
            <w:pPr>
              <w:jc w:val="both"/>
            </w:pPr>
            <w:r>
              <w:t xml:space="preserve">La </w:t>
            </w:r>
            <w:r w:rsidR="00357245">
              <w:t>SEP responde al</w:t>
            </w:r>
            <w:r w:rsidR="00995753">
              <w:t xml:space="preserve"> modelo </w:t>
            </w:r>
            <w:r w:rsidR="00357245">
              <w:t>educativo, específicamente en el</w:t>
            </w:r>
            <w:r w:rsidR="00995753">
              <w:t xml:space="preserve"> eje 4. </w:t>
            </w:r>
            <w:r w:rsidR="00357245">
              <w:t>“Inclusión y equidad”</w:t>
            </w:r>
            <w:r w:rsidR="00360423">
              <w:t>.</w:t>
            </w:r>
            <w:r>
              <w:t xml:space="preserve"> Posterior a ello se pública un libro que lleva por título “Ruta para la implementación del modelo educativo”. </w:t>
            </w:r>
            <w:r w:rsidR="000D3C92">
              <w:t xml:space="preserve">En dicho documento se especifica que acciones se llevarán a cabo para que se cumplan los ejes. </w:t>
            </w:r>
          </w:p>
          <w:p w:rsidR="000D3C92" w:rsidRDefault="000D3C92" w:rsidP="00CC4A78">
            <w:pPr>
              <w:jc w:val="both"/>
            </w:pPr>
          </w:p>
          <w:p w:rsidR="005E68EB" w:rsidRDefault="000517ED" w:rsidP="00CC4A78">
            <w:pPr>
              <w:jc w:val="both"/>
            </w:pPr>
            <w:r>
              <w:t>En específico con el eje 4. “inclusión y equidad” plantea</w:t>
            </w:r>
            <w:r w:rsidR="005E68EB">
              <w:t xml:space="preserve"> una estrategia habla de impulso o tránsito de la educación</w:t>
            </w:r>
            <w:r>
              <w:t xml:space="preserve"> </w:t>
            </w:r>
            <w:r w:rsidR="00DD3C5A">
              <w:t>esp</w:t>
            </w:r>
            <w:r w:rsidR="005E68EB">
              <w:t xml:space="preserve">acial a la educación inclusiva. Se centra en la educación inclusiva de personas con algún tipo de </w:t>
            </w:r>
            <w:r w:rsidR="005E68EB">
              <w:lastRenderedPageBreak/>
              <w:t xml:space="preserve">discapacidad. Considerando que la educación inclusiva debe garantizar su acceso, permanencia, participación y aprendizaje. </w:t>
            </w:r>
          </w:p>
          <w:p w:rsidR="005E68EB" w:rsidRDefault="005E68EB" w:rsidP="00CC4A78">
            <w:pPr>
              <w:jc w:val="both"/>
            </w:pPr>
          </w:p>
          <w:p w:rsidR="005E68EB" w:rsidRDefault="00162D0C" w:rsidP="00CC4A78">
            <w:pPr>
              <w:jc w:val="both"/>
            </w:pPr>
            <w:r>
              <w:t>Para llevar acabo dichas acciones se han contemplado a 250 escuelas, las cuales</w:t>
            </w:r>
            <w:r w:rsidR="005E68EB">
              <w:t xml:space="preserve">: </w:t>
            </w:r>
          </w:p>
          <w:p w:rsidR="005E68EB" w:rsidRDefault="005E68EB" w:rsidP="00CC4A78">
            <w:pPr>
              <w:jc w:val="both"/>
            </w:pPr>
            <w:r>
              <w:t xml:space="preserve">200 </w:t>
            </w:r>
            <w:r w:rsidR="00162D0C">
              <w:t>son escuelas de educación básica.</w:t>
            </w:r>
          </w:p>
          <w:p w:rsidR="005E68EB" w:rsidRDefault="005E68EB" w:rsidP="00CC4A78">
            <w:pPr>
              <w:jc w:val="both"/>
            </w:pPr>
            <w:r>
              <w:t>50</w:t>
            </w:r>
            <w:r w:rsidR="00162D0C">
              <w:t xml:space="preserve"> son</w:t>
            </w:r>
            <w:r>
              <w:t xml:space="preserve"> escuelas de educación medio superior.</w:t>
            </w:r>
          </w:p>
          <w:p w:rsidR="005B105F" w:rsidRDefault="005E68EB" w:rsidP="00CC4A78">
            <w:pPr>
              <w:jc w:val="both"/>
            </w:pPr>
            <w:r>
              <w:t xml:space="preserve">En total son 250 escuelas </w:t>
            </w:r>
            <w:r w:rsidR="00677FAE">
              <w:t>que llevarán a cabo las experiencias demostrativas (</w:t>
            </w:r>
            <w:r w:rsidR="00162D0C">
              <w:t xml:space="preserve">Es un </w:t>
            </w:r>
            <w:r w:rsidR="00DD3C5A">
              <w:t>concepto retomado por la UNESCO</w:t>
            </w:r>
            <w:r w:rsidR="00677FAE">
              <w:t>).</w:t>
            </w:r>
            <w:r w:rsidR="005B105F">
              <w:t xml:space="preserve"> Con el objetivo de establecer el modelo educativo en su tránsito por la educación obligatoria. En la cuales se promoverá el acceso, permanencia, participación</w:t>
            </w:r>
            <w:r w:rsidR="00A94F73">
              <w:t xml:space="preserve"> y el egreso oportuno de las y los alumnos con alguna discapacidad o alumnas y alumnos sobresalientes con calidad y equidad</w:t>
            </w:r>
            <w:r w:rsidR="00874029">
              <w:t xml:space="preserve"> (entendiendo este concepto como dar a cada alumno lo que merece y necesita). </w:t>
            </w:r>
            <w:r w:rsidR="005B105F">
              <w:t xml:space="preserve"> </w:t>
            </w:r>
          </w:p>
          <w:p w:rsidR="00A96BF6" w:rsidRDefault="00A96BF6" w:rsidP="00CC4A78">
            <w:pPr>
              <w:jc w:val="both"/>
            </w:pPr>
            <w:r>
              <w:t>Se pretende capacitar</w:t>
            </w:r>
            <w:r w:rsidR="00874029">
              <w:t xml:space="preserve"> a la comunidad, </w:t>
            </w:r>
            <w:r>
              <w:t>mediante</w:t>
            </w:r>
            <w:r w:rsidR="00874029">
              <w:t xml:space="preserve"> un modelo de intervención donde la escuela </w:t>
            </w:r>
            <w:r>
              <w:t>funge</w:t>
            </w:r>
            <w:r w:rsidR="00874029">
              <w:t xml:space="preserve"> como el centro que contempla la capacitación, la elaboración un diagnóstico, instituciones de apoyo, para implementar una ruta de trabajo y finalizar en la documentación de logros y avances.</w:t>
            </w:r>
            <w:r>
              <w:t xml:space="preserve"> Esto se realizado adaptando el INDEX, y acciones como conferencias, seminarios, elaboración de un FODA y un diagnóstico.</w:t>
            </w:r>
          </w:p>
          <w:p w:rsidR="00195D2F" w:rsidRDefault="00195D2F" w:rsidP="00CC4A78">
            <w:pPr>
              <w:jc w:val="both"/>
            </w:pPr>
          </w:p>
          <w:p w:rsidR="001A03F4" w:rsidRPr="003473E9" w:rsidRDefault="001A03F4" w:rsidP="00CC4A78">
            <w:pPr>
              <w:jc w:val="both"/>
              <w:rPr>
                <w:b/>
              </w:rPr>
            </w:pPr>
            <w:r w:rsidRPr="003473E9">
              <w:rPr>
                <w:b/>
              </w:rPr>
              <w:t>CONAFE:</w:t>
            </w:r>
          </w:p>
          <w:p w:rsidR="00FC3548" w:rsidRDefault="00FC3548" w:rsidP="00CC4A78">
            <w:pPr>
              <w:jc w:val="both"/>
            </w:pPr>
            <w:r>
              <w:t>Ha impulsado un nuevo Mod</w:t>
            </w:r>
            <w:r w:rsidR="00DD3C5A">
              <w:t xml:space="preserve">elo de educación comunitaria </w:t>
            </w:r>
            <w:r>
              <w:t>para g</w:t>
            </w:r>
            <w:r w:rsidR="00DD3C5A">
              <w:t xml:space="preserve">arantizar los </w:t>
            </w:r>
            <w:r>
              <w:t xml:space="preserve">derechos niños, niños a una educación de calidad y equidad y fomentar la participación de la comunidad. También tiene como objetivo disminuir las disparidades de género en la educación y garantizar el acceso igualitario. </w:t>
            </w:r>
          </w:p>
          <w:p w:rsidR="002E75D9" w:rsidRDefault="002E75D9" w:rsidP="00CC4A78">
            <w:pPr>
              <w:jc w:val="both"/>
            </w:pPr>
          </w:p>
          <w:p w:rsidR="008E4506" w:rsidRDefault="008E4506" w:rsidP="00CC4A78">
            <w:pPr>
              <w:jc w:val="both"/>
            </w:pPr>
            <w:r>
              <w:t>El modelo se basa en la colaboración y el diálogo. Se promueve la atención personalizada y se impulsa la coordinación interinstitucional.</w:t>
            </w:r>
          </w:p>
          <w:p w:rsidR="00FC3548" w:rsidRDefault="00FC3548" w:rsidP="00CC4A78">
            <w:pPr>
              <w:jc w:val="both"/>
            </w:pPr>
          </w:p>
          <w:p w:rsidR="006D56CD" w:rsidRDefault="008E4506" w:rsidP="00CC4A78">
            <w:pPr>
              <w:jc w:val="both"/>
            </w:pPr>
            <w:r>
              <w:t xml:space="preserve">El modelo de educación comunitaria (Modelo ABCD) se basa en 5 fases </w:t>
            </w:r>
            <w:r w:rsidR="00FC3548">
              <w:t>para ofrecer la</w:t>
            </w:r>
            <w:r w:rsidR="006D56CD">
              <w:t>s condici</w:t>
            </w:r>
            <w:r w:rsidR="00363E5B">
              <w:t xml:space="preserve">ones </w:t>
            </w:r>
            <w:r w:rsidR="00633F2B">
              <w:t xml:space="preserve">y así </w:t>
            </w:r>
            <w:r w:rsidR="00363E5B">
              <w:t xml:space="preserve">atender la diversidad. </w:t>
            </w:r>
            <w:r w:rsidR="0060488A">
              <w:t>También planeta la profesionalización de técnicos.</w:t>
            </w:r>
          </w:p>
          <w:p w:rsidR="003473E9" w:rsidRDefault="003473E9" w:rsidP="00CC4A78">
            <w:pPr>
              <w:jc w:val="both"/>
            </w:pPr>
          </w:p>
          <w:p w:rsidR="002E75D9" w:rsidRDefault="003473E9" w:rsidP="00CC4A78">
            <w:pPr>
              <w:jc w:val="both"/>
            </w:pPr>
            <w:r>
              <w:t xml:space="preserve">El modelo promueve un aula multigrado donde la diversidad sea un eje. Se han realizado un desarrollo de materiales con el eje de </w:t>
            </w:r>
            <w:r w:rsidR="0060488A">
              <w:t>aprendizaje</w:t>
            </w:r>
            <w:r>
              <w:t xml:space="preserve"> autónomo por campo formativo.</w:t>
            </w:r>
          </w:p>
          <w:p w:rsidR="002E75D9" w:rsidRDefault="002E75D9" w:rsidP="00CC4A78">
            <w:pPr>
              <w:jc w:val="both"/>
            </w:pPr>
          </w:p>
          <w:p w:rsidR="003473E9" w:rsidRDefault="003473E9" w:rsidP="00CC4A78">
            <w:pPr>
              <w:jc w:val="both"/>
              <w:rPr>
                <w:b/>
              </w:rPr>
            </w:pPr>
            <w:r w:rsidRPr="003473E9">
              <w:rPr>
                <w:b/>
              </w:rPr>
              <w:t>SIPINNA:</w:t>
            </w:r>
          </w:p>
          <w:p w:rsidR="00543BF9" w:rsidRDefault="00543BF9" w:rsidP="00CC4A78">
            <w:pPr>
              <w:jc w:val="both"/>
            </w:pPr>
            <w:r>
              <w:t xml:space="preserve">Articular política pública </w:t>
            </w:r>
            <w:r w:rsidR="000C118D">
              <w:t xml:space="preserve">nacional </w:t>
            </w:r>
            <w:r>
              <w:t>a tres niveles</w:t>
            </w:r>
            <w:r w:rsidR="000C118D">
              <w:t xml:space="preserve"> (nacional, estatal y municipal)</w:t>
            </w:r>
            <w:r>
              <w:t xml:space="preserve"> que </w:t>
            </w:r>
            <w:r w:rsidR="000C118D">
              <w:t>dialogue</w:t>
            </w:r>
            <w:r>
              <w:t xml:space="preserve"> con las instancias relacion</w:t>
            </w:r>
            <w:r w:rsidR="000C118D">
              <w:t xml:space="preserve">adas garantizar los derechos de la niñez y la adolescencia. </w:t>
            </w:r>
          </w:p>
          <w:p w:rsidR="00543BF9" w:rsidRDefault="00F34434" w:rsidP="00CC4A78">
            <w:pPr>
              <w:jc w:val="both"/>
            </w:pPr>
            <w:r>
              <w:t>Retomando que existe una nula participación de niños y niñas en nuestra cultura familiar, SIPINNA converso una experiencia inclusiva.</w:t>
            </w:r>
          </w:p>
          <w:p w:rsidR="00F34434" w:rsidRDefault="00F34434" w:rsidP="00CC4A78">
            <w:pPr>
              <w:jc w:val="both"/>
            </w:pPr>
          </w:p>
          <w:p w:rsidR="00543BF9" w:rsidRDefault="00F34434" w:rsidP="00CC4A78">
            <w:pPr>
              <w:jc w:val="both"/>
            </w:pPr>
            <w:r>
              <w:t xml:space="preserve">Las asesorías en las diversidades entidades del país. </w:t>
            </w:r>
            <w:r w:rsidR="000F2E7B">
              <w:t>Para i</w:t>
            </w:r>
            <w:r w:rsidR="00543BF9">
              <w:t>ncidir en los procesos de participación</w:t>
            </w:r>
            <w:r w:rsidR="00447FBD">
              <w:t xml:space="preserve"> (proceso permanente</w:t>
            </w:r>
            <w:r w:rsidR="00EB5E22">
              <w:t xml:space="preserve"> de libre expresión</w:t>
            </w:r>
            <w:r w:rsidR="0049114C">
              <w:t xml:space="preserve">, basado en el principio de interés </w:t>
            </w:r>
            <w:r w:rsidR="009C5419">
              <w:t>superior</w:t>
            </w:r>
            <w:r w:rsidR="00447FBD">
              <w:t>)</w:t>
            </w:r>
            <w:r w:rsidR="00543BF9">
              <w:t xml:space="preserve">, como mecanismo </w:t>
            </w:r>
            <w:r w:rsidR="000606CE">
              <w:t>donde sean tomados en cuenta y donde exista un resultado de ejercicio de derechos de niñas, niños y adolescentes.</w:t>
            </w:r>
          </w:p>
          <w:p w:rsidR="004967EC" w:rsidRDefault="004967EC" w:rsidP="00CC4A78">
            <w:pPr>
              <w:jc w:val="both"/>
            </w:pPr>
          </w:p>
          <w:p w:rsidR="004967EC" w:rsidRDefault="004967EC" w:rsidP="00CC4A78">
            <w:pPr>
              <w:jc w:val="both"/>
            </w:pPr>
            <w:r>
              <w:t>El sistema busca asesorar y sensibilizar a funcionarios y funcionarias a través de talleres de consulta.</w:t>
            </w:r>
          </w:p>
          <w:p w:rsidR="004967EC" w:rsidRDefault="004967EC" w:rsidP="00CC4A78">
            <w:pPr>
              <w:jc w:val="both"/>
            </w:pPr>
            <w:r>
              <w:t>Con la colaboración de algunos estados se ha visibilizado problemas graves de niños y niñas como la violencia y el acoso.</w:t>
            </w:r>
          </w:p>
          <w:p w:rsidR="004967EC" w:rsidRDefault="004967EC" w:rsidP="00CC4A78">
            <w:pPr>
              <w:jc w:val="both"/>
            </w:pPr>
          </w:p>
          <w:p w:rsidR="00543BF9" w:rsidRDefault="004967EC" w:rsidP="00CC4A78">
            <w:pPr>
              <w:jc w:val="both"/>
            </w:pPr>
            <w:r>
              <w:t>También se</w:t>
            </w:r>
            <w:r w:rsidR="0072452B">
              <w:t xml:space="preserve"> ha</w:t>
            </w:r>
            <w:r>
              <w:t xml:space="preserve"> </w:t>
            </w:r>
            <w:r w:rsidR="0072452B">
              <w:t>sensibilizado</w:t>
            </w:r>
            <w:r>
              <w:t xml:space="preserve"> </w:t>
            </w:r>
            <w:r w:rsidR="0072452B">
              <w:t xml:space="preserve">a funcionarias y funcionarios públicos mediante </w:t>
            </w:r>
            <w:r w:rsidR="00543BF9">
              <w:t>Talleres de consulta</w:t>
            </w:r>
            <w:r w:rsidR="001659E2">
              <w:t xml:space="preserve"> y se han elaborado </w:t>
            </w:r>
            <w:r w:rsidR="00543BF9">
              <w:t>Guía</w:t>
            </w:r>
            <w:r w:rsidR="001659E2">
              <w:t>s</w:t>
            </w:r>
            <w:r w:rsidR="00543BF9">
              <w:t xml:space="preserve"> de participación para adolescentes</w:t>
            </w:r>
            <w:r w:rsidR="001659E2">
              <w:t>.</w:t>
            </w:r>
          </w:p>
          <w:p w:rsidR="001659E2" w:rsidRDefault="001659E2" w:rsidP="00CC4A78">
            <w:pPr>
              <w:jc w:val="both"/>
            </w:pPr>
          </w:p>
          <w:p w:rsidR="00B568F5" w:rsidRDefault="001659E2" w:rsidP="00CC4A78">
            <w:pPr>
              <w:jc w:val="both"/>
            </w:pPr>
            <w:r>
              <w:lastRenderedPageBreak/>
              <w:t xml:space="preserve">Se han realizado </w:t>
            </w:r>
            <w:r w:rsidR="00543BF9">
              <w:t>Encuestas en línea</w:t>
            </w:r>
            <w:r w:rsidR="00EB7189">
              <w:t xml:space="preserve"> sobre la violencia y la recuperación de espacio públicos</w:t>
            </w:r>
            <w:r w:rsidR="00543BF9">
              <w:t>: 27 mil</w:t>
            </w:r>
            <w:r w:rsidR="00EB7189">
              <w:t xml:space="preserve"> respuestas. Los resultados formarán parte de un </w:t>
            </w:r>
            <w:r w:rsidR="00543BF9">
              <w:t>Encuentro iberoamericano</w:t>
            </w:r>
            <w:r w:rsidR="00EB7189">
              <w:t>.</w:t>
            </w:r>
          </w:p>
        </w:tc>
      </w:tr>
      <w:tr w:rsidR="00DA47C4" w:rsidTr="00A96BF6">
        <w:trPr>
          <w:trHeight w:val="2410"/>
        </w:trPr>
        <w:tc>
          <w:tcPr>
            <w:tcW w:w="9981" w:type="dxa"/>
          </w:tcPr>
          <w:p w:rsidR="00DA47C4" w:rsidRPr="003F242D" w:rsidRDefault="00264B8A" w:rsidP="003F242D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3F242D">
              <w:rPr>
                <w:b/>
              </w:rPr>
              <w:lastRenderedPageBreak/>
              <w:t>Análisis</w:t>
            </w:r>
            <w:r w:rsidR="00DA47C4" w:rsidRPr="003F242D">
              <w:rPr>
                <w:b/>
              </w:rPr>
              <w:t xml:space="preserve"> y debate sobre el tema expuesto</w:t>
            </w:r>
          </w:p>
          <w:p w:rsidR="00264B8A" w:rsidRPr="00264B8A" w:rsidRDefault="00264B8A" w:rsidP="00CC4A78">
            <w:pPr>
              <w:jc w:val="both"/>
              <w:rPr>
                <w:b/>
              </w:rPr>
            </w:pPr>
          </w:p>
          <w:p w:rsidR="00254290" w:rsidRPr="00264B8A" w:rsidRDefault="00254290" w:rsidP="00CC4A78">
            <w:pPr>
              <w:jc w:val="both"/>
              <w:rPr>
                <w:b/>
              </w:rPr>
            </w:pPr>
            <w:r w:rsidRPr="00264B8A">
              <w:rPr>
                <w:b/>
              </w:rPr>
              <w:t>CRESUR</w:t>
            </w:r>
            <w:r w:rsidR="004F1546" w:rsidRPr="00264B8A">
              <w:rPr>
                <w:b/>
              </w:rPr>
              <w:t>:</w:t>
            </w:r>
          </w:p>
          <w:p w:rsidR="00264B8A" w:rsidRDefault="00264B8A" w:rsidP="00CC4A78">
            <w:pPr>
              <w:jc w:val="both"/>
            </w:pPr>
            <w:r>
              <w:t>Planteo la problemática que enfrentan niñas, niños y adolescentes al ser rechazados por las escuelas. Alguna de las razones de este rechazo se debe a la carente infraestructura de las escuelas, es por ello qué es importante cuestionar ¿qué debe hacer la familia frente a la exclusión de niñas, niños y adolescentes con discapacidad?</w:t>
            </w:r>
          </w:p>
          <w:p w:rsidR="00264B8A" w:rsidRDefault="00264B8A" w:rsidP="00CC4A78">
            <w:pPr>
              <w:jc w:val="both"/>
            </w:pPr>
            <w:r>
              <w:t>La f</w:t>
            </w:r>
            <w:r w:rsidR="00254290">
              <w:t xml:space="preserve">amilia </w:t>
            </w:r>
            <w:r>
              <w:t xml:space="preserve">debe ser </w:t>
            </w:r>
            <w:r w:rsidR="00254290">
              <w:t xml:space="preserve">espacio donde </w:t>
            </w:r>
            <w:r>
              <w:t>defienda el</w:t>
            </w:r>
            <w:r w:rsidR="00254290">
              <w:t xml:space="preserve"> derecho a la educación de las n</w:t>
            </w:r>
            <w:r>
              <w:t xml:space="preserve">iñas, </w:t>
            </w:r>
            <w:r w:rsidR="00254290">
              <w:t>n</w:t>
            </w:r>
            <w:r>
              <w:t>iños y adolescentes</w:t>
            </w:r>
            <w:r w:rsidR="00254290">
              <w:t xml:space="preserve"> con discapacidad.</w:t>
            </w:r>
          </w:p>
          <w:p w:rsidR="00A25D65" w:rsidRDefault="00264B8A" w:rsidP="00A25D65">
            <w:pPr>
              <w:jc w:val="both"/>
            </w:pPr>
            <w:r>
              <w:t xml:space="preserve">Así mismo debe existir una óptima difusión de la </w:t>
            </w:r>
            <w:r w:rsidR="00254290">
              <w:t>labor de</w:t>
            </w:r>
            <w:r>
              <w:t xml:space="preserve"> las instancias gubernamentales.</w:t>
            </w:r>
          </w:p>
          <w:p w:rsidR="00DD492F" w:rsidRDefault="00DD492F" w:rsidP="00A25D65">
            <w:pPr>
              <w:jc w:val="both"/>
            </w:pPr>
          </w:p>
          <w:p w:rsidR="00A25D65" w:rsidRDefault="00A25D65" w:rsidP="00A25D65">
            <w:pPr>
              <w:jc w:val="both"/>
              <w:rPr>
                <w:b/>
              </w:rPr>
            </w:pPr>
            <w:r w:rsidRPr="00242E46">
              <w:rPr>
                <w:b/>
              </w:rPr>
              <w:t>CGEIB:</w:t>
            </w:r>
          </w:p>
          <w:p w:rsidR="00DD492F" w:rsidRPr="00DD492F" w:rsidRDefault="00DD492F" w:rsidP="00DD492F">
            <w:pPr>
              <w:jc w:val="both"/>
            </w:pPr>
            <w:r w:rsidRPr="00DD492F">
              <w:t xml:space="preserve">Se pretende reconocer que cuando el saber se toma como eje se puede identificar si ese saber puede ser interpretado, sin </w:t>
            </w:r>
            <w:proofErr w:type="spellStart"/>
            <w:r w:rsidRPr="00DD492F">
              <w:t>folcklorizar</w:t>
            </w:r>
            <w:proofErr w:type="spellEnd"/>
            <w:r w:rsidRPr="00DD492F">
              <w:t>.</w:t>
            </w:r>
          </w:p>
          <w:p w:rsidR="00A25D65" w:rsidRDefault="00A25D65" w:rsidP="00CC4A78">
            <w:pPr>
              <w:jc w:val="both"/>
            </w:pPr>
          </w:p>
          <w:p w:rsidR="004E246C" w:rsidRPr="00936FE1" w:rsidRDefault="00125E59" w:rsidP="00CC4A78">
            <w:pPr>
              <w:jc w:val="both"/>
              <w:rPr>
                <w:b/>
              </w:rPr>
            </w:pPr>
            <w:proofErr w:type="spellStart"/>
            <w:r w:rsidRPr="00936FE1">
              <w:rPr>
                <w:b/>
              </w:rPr>
              <w:t>Sep</w:t>
            </w:r>
            <w:proofErr w:type="spellEnd"/>
            <w:r w:rsidRPr="00936FE1">
              <w:rPr>
                <w:b/>
              </w:rPr>
              <w:t xml:space="preserve"> media superior y superior</w:t>
            </w:r>
          </w:p>
          <w:p w:rsidR="00125E59" w:rsidRDefault="00125E59" w:rsidP="00CC4A78">
            <w:pPr>
              <w:jc w:val="both"/>
            </w:pPr>
            <w:r>
              <w:t>La educación inclusiva debe garantizar su acceso, permanencia, participación y aprendizaje.</w:t>
            </w:r>
          </w:p>
          <w:p w:rsidR="009101B2" w:rsidRDefault="009101B2" w:rsidP="00CC4A78">
            <w:pPr>
              <w:jc w:val="both"/>
            </w:pPr>
          </w:p>
          <w:p w:rsidR="009101B2" w:rsidRPr="009101B2" w:rsidRDefault="00CC303F" w:rsidP="00CC4A78">
            <w:pPr>
              <w:jc w:val="both"/>
              <w:rPr>
                <w:b/>
              </w:rPr>
            </w:pPr>
            <w:r>
              <w:rPr>
                <w:b/>
              </w:rPr>
              <w:t>CONA</w:t>
            </w:r>
            <w:r w:rsidR="009101B2" w:rsidRPr="009101B2">
              <w:rPr>
                <w:b/>
              </w:rPr>
              <w:t>FE:</w:t>
            </w:r>
          </w:p>
          <w:p w:rsidR="00D90FC3" w:rsidRDefault="009101B2" w:rsidP="00CC4A78">
            <w:pPr>
              <w:jc w:val="both"/>
            </w:pPr>
            <w:r>
              <w:t xml:space="preserve">Este modelo del ABCD se está reconstituyendo para dejar de ser un modelo que fomente la integridad y ser un modelo inclusivo. </w:t>
            </w:r>
          </w:p>
          <w:p w:rsidR="00D90FC3" w:rsidRDefault="00D90FC3" w:rsidP="00CC4A78">
            <w:pPr>
              <w:jc w:val="both"/>
            </w:pPr>
          </w:p>
          <w:p w:rsidR="00C443A1" w:rsidRPr="00DD492F" w:rsidRDefault="00C443A1" w:rsidP="00CC4A78">
            <w:pPr>
              <w:jc w:val="both"/>
              <w:rPr>
                <w:b/>
              </w:rPr>
            </w:pPr>
            <w:r w:rsidRPr="00D90FC3">
              <w:rPr>
                <w:b/>
              </w:rPr>
              <w:t>SIPINNA:</w:t>
            </w:r>
            <w:r>
              <w:br/>
              <w:t>Es importante romper con esquemas de participación y las diversas formas de simular la participación de niñas, niños y adolescentes. El reto es encontrar cómo aterrizar este princ</w:t>
            </w:r>
            <w:r w:rsidR="00D90FC3">
              <w:t>ipio sin caer en paternalismos.</w:t>
            </w:r>
          </w:p>
        </w:tc>
      </w:tr>
      <w:tr w:rsidR="00DA47C4" w:rsidTr="00A96BF6">
        <w:trPr>
          <w:trHeight w:val="2551"/>
        </w:trPr>
        <w:tc>
          <w:tcPr>
            <w:tcW w:w="9981" w:type="dxa"/>
          </w:tcPr>
          <w:p w:rsidR="00DA47C4" w:rsidRPr="003F242D" w:rsidRDefault="00DA47C4" w:rsidP="003F242D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3F242D">
              <w:rPr>
                <w:b/>
              </w:rPr>
              <w:t>Conclusiones y propuestas</w:t>
            </w:r>
          </w:p>
          <w:p w:rsidR="00242E46" w:rsidRPr="00264B8A" w:rsidRDefault="00242E46" w:rsidP="00CC4A78">
            <w:pPr>
              <w:jc w:val="both"/>
              <w:rPr>
                <w:b/>
              </w:rPr>
            </w:pPr>
          </w:p>
          <w:p w:rsidR="006D42D9" w:rsidRPr="00543BF9" w:rsidRDefault="00254290" w:rsidP="00CC4A78">
            <w:pPr>
              <w:jc w:val="both"/>
              <w:rPr>
                <w:b/>
              </w:rPr>
            </w:pPr>
            <w:r w:rsidRPr="00782875">
              <w:rPr>
                <w:b/>
              </w:rPr>
              <w:t xml:space="preserve">CRESUR: </w:t>
            </w:r>
          </w:p>
          <w:p w:rsidR="00543BF9" w:rsidRDefault="00543BF9" w:rsidP="00CC4A78">
            <w:pPr>
              <w:jc w:val="both"/>
            </w:pPr>
            <w:r>
              <w:t xml:space="preserve">Es una institución que ofrece un posgrado (maestría y doctorado) en “Educación inclusiva” </w:t>
            </w:r>
          </w:p>
          <w:p w:rsidR="00254290" w:rsidRDefault="00543BF9" w:rsidP="00CC4A78">
            <w:pPr>
              <w:jc w:val="both"/>
            </w:pPr>
            <w:r>
              <w:t>Cuenta con 3 revistas electrónicas y a través de su portal de internet se difunden publicaciones de alumnos y alumnas, así como una oferta educativa.</w:t>
            </w:r>
          </w:p>
          <w:p w:rsidR="00A25D65" w:rsidRDefault="00A25D65" w:rsidP="00CC4A78">
            <w:pPr>
              <w:jc w:val="both"/>
            </w:pPr>
            <w:r>
              <w:t>Promover lo seminarios gratuitos a las y los docentes, ya que las condiciones que enfrentan en su cotidianidad les impide un desarrollo óptimo de su carrera profesional.</w:t>
            </w:r>
          </w:p>
          <w:p w:rsidR="00A25D65" w:rsidRDefault="00A25D65" w:rsidP="00A25D65">
            <w:pPr>
              <w:jc w:val="both"/>
            </w:pPr>
          </w:p>
          <w:p w:rsidR="00A25D65" w:rsidRDefault="00A25D65" w:rsidP="00A25D65">
            <w:pPr>
              <w:jc w:val="both"/>
              <w:rPr>
                <w:b/>
              </w:rPr>
            </w:pPr>
            <w:r w:rsidRPr="00242E46">
              <w:rPr>
                <w:b/>
              </w:rPr>
              <w:t>CGEIB:</w:t>
            </w:r>
          </w:p>
          <w:p w:rsidR="00CF16AB" w:rsidRDefault="00CF16AB" w:rsidP="00DD492F">
            <w:pPr>
              <w:jc w:val="both"/>
              <w:rPr>
                <w:b/>
              </w:rPr>
            </w:pPr>
            <w:r w:rsidRPr="00CF16AB">
              <w:t>Es importante construir redes de comunicación para investigar de qué manera se puede colaborar</w:t>
            </w:r>
            <w:r>
              <w:rPr>
                <w:b/>
              </w:rPr>
              <w:t xml:space="preserve">. </w:t>
            </w:r>
          </w:p>
          <w:p w:rsidR="00A25D65" w:rsidRDefault="00DD492F" w:rsidP="00DD492F">
            <w:pPr>
              <w:jc w:val="both"/>
            </w:pPr>
            <w:r>
              <w:t xml:space="preserve">Con la implementación de talleres con enfoque </w:t>
            </w:r>
            <w:proofErr w:type="spellStart"/>
            <w:r>
              <w:t>intracultural</w:t>
            </w:r>
            <w:proofErr w:type="spellEnd"/>
            <w:r>
              <w:t xml:space="preserve"> s</w:t>
            </w:r>
            <w:r w:rsidR="002A371A">
              <w:t xml:space="preserve">e </w:t>
            </w:r>
            <w:proofErr w:type="spellStart"/>
            <w:r w:rsidR="002A371A">
              <w:t>logro</w:t>
            </w:r>
            <w:proofErr w:type="spellEnd"/>
            <w:r w:rsidR="002A371A">
              <w:t xml:space="preserve"> en términos de inclusión el proceso participativo de la comunidad y/o localidad, el acompañamiento e interpelación individual y colectiva, así como la transformación de relaciones:  asimetrías de poder de las mujeres con las y los docentes, esto mediante la problematización de las relaciones sociales. </w:t>
            </w:r>
          </w:p>
          <w:p w:rsidR="00DD492F" w:rsidRPr="00DD492F" w:rsidRDefault="00DD492F" w:rsidP="00A25D65">
            <w:pPr>
              <w:jc w:val="both"/>
            </w:pPr>
          </w:p>
          <w:p w:rsidR="008C728B" w:rsidRDefault="00A25D65" w:rsidP="00A25D65">
            <w:pPr>
              <w:jc w:val="both"/>
              <w:rPr>
                <w:b/>
              </w:rPr>
            </w:pPr>
            <w:proofErr w:type="spellStart"/>
            <w:r w:rsidRPr="00936FE1">
              <w:rPr>
                <w:b/>
              </w:rPr>
              <w:t>Sep</w:t>
            </w:r>
            <w:proofErr w:type="spellEnd"/>
            <w:r w:rsidRPr="00936FE1">
              <w:rPr>
                <w:b/>
              </w:rPr>
              <w:t xml:space="preserve"> media superior y superior</w:t>
            </w:r>
            <w:r>
              <w:rPr>
                <w:b/>
              </w:rPr>
              <w:t>:</w:t>
            </w:r>
          </w:p>
          <w:p w:rsidR="00345CFA" w:rsidRDefault="008C728B" w:rsidP="00345CFA">
            <w:pPr>
              <w:jc w:val="both"/>
            </w:pPr>
            <w:r>
              <w:t xml:space="preserve">Esta dependencia </w:t>
            </w:r>
            <w:r w:rsidR="00345CFA">
              <w:t xml:space="preserve">consideró 3 áreas de atención: </w:t>
            </w:r>
          </w:p>
          <w:p w:rsidR="00345CFA" w:rsidRDefault="00345CFA" w:rsidP="00345CFA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lastRenderedPageBreak/>
              <w:t>Difusión: Se pretenden dos grandes acciones, la primera es la elaboración de infografías para público en general en colaboración con organizaciones civiles, y la segunda un concurso audio visual de experiencias demostrativas.</w:t>
            </w:r>
          </w:p>
          <w:p w:rsidR="00345CFA" w:rsidRDefault="00345CFA" w:rsidP="00345CFA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Desarrollo profesional docente: Se tiene planeado una serie de libros que aborden diferentes tipos de discapacidad, un taller en línea, así como jornadas académicas con talleres y conferencias, una gira sobre la educación inclusiva en diferentes entidades federativas en vinculación con la CNDH.</w:t>
            </w:r>
          </w:p>
          <w:p w:rsidR="00345CFA" w:rsidRDefault="00345CFA" w:rsidP="00345CFA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Acompañamiento y seguimiento: Se tiene un convenio con Euro social y SIPINNA para el acompañamiento para la detección, prevención e intervención sobre el acoso escolar.</w:t>
            </w:r>
          </w:p>
          <w:p w:rsidR="00345CFA" w:rsidRDefault="00345CFA" w:rsidP="00CC4A78">
            <w:pPr>
              <w:jc w:val="both"/>
            </w:pPr>
          </w:p>
          <w:p w:rsidR="00A25D65" w:rsidRDefault="00A25D65" w:rsidP="00A25D65">
            <w:pPr>
              <w:jc w:val="both"/>
              <w:rPr>
                <w:b/>
              </w:rPr>
            </w:pPr>
            <w:r w:rsidRPr="00A57AC7">
              <w:rPr>
                <w:b/>
              </w:rPr>
              <w:t>SIPINNA:</w:t>
            </w:r>
          </w:p>
          <w:p w:rsidR="008C728B" w:rsidRPr="001C5178" w:rsidRDefault="001C5178" w:rsidP="001C5178">
            <w:pPr>
              <w:jc w:val="both"/>
            </w:pPr>
            <w:r w:rsidRPr="001C5178">
              <w:t>Algunos aspectos que considerar</w:t>
            </w:r>
            <w:r w:rsidR="008C728B" w:rsidRPr="001C5178">
              <w:t xml:space="preserve"> es que dado que a la sociedad no le gusta escuchar lo que tienen que decir niñas, niños y adolescentes y tampoco se considera las etapas de desarrollo se han generado talleres de consulta, encuestas para promover los procesos participativos y garantizar los derechos de niñas, niños y adolescentes.</w:t>
            </w:r>
          </w:p>
          <w:p w:rsidR="00A25D65" w:rsidRPr="00A57AC7" w:rsidRDefault="00A25D65" w:rsidP="00A25D65">
            <w:pPr>
              <w:jc w:val="both"/>
              <w:rPr>
                <w:b/>
              </w:rPr>
            </w:pPr>
          </w:p>
          <w:p w:rsidR="00A25D65" w:rsidRDefault="00A25D65" w:rsidP="00A25D65">
            <w:pPr>
              <w:jc w:val="both"/>
              <w:rPr>
                <w:b/>
              </w:rPr>
            </w:pPr>
            <w:r w:rsidRPr="00E836C8">
              <w:rPr>
                <w:b/>
              </w:rPr>
              <w:t xml:space="preserve">CONAFE: </w:t>
            </w:r>
          </w:p>
          <w:p w:rsidR="001C5178" w:rsidRPr="001C5178" w:rsidRDefault="001C5178" w:rsidP="001C5178">
            <w:pPr>
              <w:jc w:val="both"/>
            </w:pPr>
            <w:r w:rsidRPr="001C5178">
              <w:t>Para concluir su participación se comentó que CONAFE cuenta con la atención focalizada a niños y niñas migrantes. Se busca pasar de la integración a la inclusión.</w:t>
            </w:r>
          </w:p>
          <w:p w:rsidR="00A25D65" w:rsidRDefault="001C5178" w:rsidP="00CC4A78">
            <w:pPr>
              <w:jc w:val="both"/>
            </w:pPr>
            <w:r w:rsidRPr="001C5178">
              <w:t>Dicho modelo contempla que la migración de suma vitalidad para la sobrevivencia de niñas y niños. Es por ello por lo que contempla a la población que vive en circos.</w:t>
            </w:r>
          </w:p>
        </w:tc>
      </w:tr>
      <w:tr w:rsidR="00DA47C4" w:rsidTr="00A96BF6">
        <w:trPr>
          <w:trHeight w:val="2410"/>
        </w:trPr>
        <w:tc>
          <w:tcPr>
            <w:tcW w:w="9981" w:type="dxa"/>
          </w:tcPr>
          <w:p w:rsidR="006F4EEB" w:rsidRPr="003F242D" w:rsidRDefault="00DA47C4" w:rsidP="003F242D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3F242D">
              <w:rPr>
                <w:b/>
              </w:rPr>
              <w:lastRenderedPageBreak/>
              <w:t>Debate/preguntas asistentes</w:t>
            </w:r>
            <w:r w:rsidR="00242E46" w:rsidRPr="003F242D">
              <w:rPr>
                <w:b/>
              </w:rPr>
              <w:t>/</w:t>
            </w:r>
            <w:r w:rsidR="0089448B" w:rsidRPr="003F242D">
              <w:rPr>
                <w:b/>
              </w:rPr>
              <w:t>Retos</w:t>
            </w:r>
          </w:p>
          <w:p w:rsidR="006F4EEB" w:rsidRDefault="006F4EEB" w:rsidP="00CC4A78">
            <w:pPr>
              <w:ind w:left="360"/>
              <w:jc w:val="both"/>
            </w:pPr>
          </w:p>
          <w:p w:rsidR="00A25D65" w:rsidRDefault="006F4EEB" w:rsidP="00CC4A78">
            <w:pPr>
              <w:jc w:val="both"/>
            </w:pPr>
            <w:r w:rsidRPr="00242E46">
              <w:rPr>
                <w:b/>
              </w:rPr>
              <w:t>CRESUR:</w:t>
            </w:r>
            <w:r>
              <w:t xml:space="preserve">  </w:t>
            </w:r>
          </w:p>
          <w:p w:rsidR="00A57AC7" w:rsidRDefault="006F4EEB" w:rsidP="00CC4A78">
            <w:pPr>
              <w:jc w:val="both"/>
            </w:pPr>
            <w:r>
              <w:t>No sólo trabaja a nivel regional, da preferencia a 8 estados, pero pretende extenderse a todo el país y cuentan con 4 centros en el país.</w:t>
            </w:r>
            <w:r w:rsidR="0023768A">
              <w:t xml:space="preserve"> Uno de sus principales retos es superar su</w:t>
            </w:r>
            <w:r w:rsidR="00E509C3">
              <w:t xml:space="preserve"> </w:t>
            </w:r>
            <w:r w:rsidR="0023768A">
              <w:t>carente estructura, ya que es muy pequeña, pese a ello se ha logrado construir un cuerpo académico consolidado.</w:t>
            </w:r>
          </w:p>
          <w:p w:rsidR="00A25D65" w:rsidRDefault="00A25D65" w:rsidP="00CC4A78">
            <w:pPr>
              <w:jc w:val="both"/>
            </w:pPr>
          </w:p>
          <w:p w:rsidR="00A57AC7" w:rsidRDefault="00A57AC7" w:rsidP="00CC4A78">
            <w:pPr>
              <w:jc w:val="both"/>
              <w:rPr>
                <w:b/>
              </w:rPr>
            </w:pPr>
            <w:proofErr w:type="spellStart"/>
            <w:r w:rsidRPr="00936FE1">
              <w:rPr>
                <w:b/>
              </w:rPr>
              <w:t>Sep</w:t>
            </w:r>
            <w:proofErr w:type="spellEnd"/>
            <w:r w:rsidRPr="00936FE1">
              <w:rPr>
                <w:b/>
              </w:rPr>
              <w:t xml:space="preserve"> media superior y superior</w:t>
            </w:r>
          </w:p>
          <w:p w:rsidR="002C70B6" w:rsidRDefault="002C70B6" w:rsidP="00CC4A78">
            <w:pPr>
              <w:jc w:val="both"/>
            </w:pPr>
            <w:r>
              <w:t>Es importante enfrentar el desarrollo o p</w:t>
            </w:r>
            <w:r w:rsidR="0089448B">
              <w:t>rofesionalización de docentes</w:t>
            </w:r>
            <w:r>
              <w:t>, así como la m</w:t>
            </w:r>
            <w:r w:rsidR="0089448B">
              <w:t xml:space="preserve">ejora de la </w:t>
            </w:r>
            <w:r w:rsidR="00543BF9">
              <w:t>infraestructura</w:t>
            </w:r>
            <w:r w:rsidR="0089448B">
              <w:t xml:space="preserve"> educativa</w:t>
            </w:r>
            <w:r>
              <w:t xml:space="preserve">, ya que para atender a la diversidad implica implementar estrategias específicas que permita promover un aprendizaje inclusivo. </w:t>
            </w:r>
          </w:p>
          <w:p w:rsidR="002C70B6" w:rsidRDefault="002C70B6" w:rsidP="00CC4A78">
            <w:pPr>
              <w:jc w:val="both"/>
            </w:pPr>
          </w:p>
          <w:p w:rsidR="0089448B" w:rsidRDefault="002C70B6" w:rsidP="00CC4A78">
            <w:pPr>
              <w:jc w:val="both"/>
            </w:pPr>
            <w:r>
              <w:t>Otro aspecto importante es considerar la</w:t>
            </w:r>
            <w:r w:rsidR="00A57AC7">
              <w:t xml:space="preserve"> v</w:t>
            </w:r>
            <w:r w:rsidR="0089448B">
              <w:t xml:space="preserve">inculación </w:t>
            </w:r>
            <w:proofErr w:type="spellStart"/>
            <w:r w:rsidR="00A57AC7">
              <w:t>interinstitucionalidad</w:t>
            </w:r>
            <w:proofErr w:type="spellEnd"/>
            <w:r w:rsidR="00590C68">
              <w:t xml:space="preserve">, en </w:t>
            </w:r>
            <w:proofErr w:type="spellStart"/>
            <w:r w:rsidR="00590C68">
              <w:t>especifico</w:t>
            </w:r>
            <w:proofErr w:type="spellEnd"/>
            <w:r w:rsidR="00590C68">
              <w:t xml:space="preserve"> con el INEE, el área de profesionalización docente.</w:t>
            </w:r>
          </w:p>
          <w:p w:rsidR="00B7185A" w:rsidRDefault="00B7185A" w:rsidP="00CC4A78">
            <w:pPr>
              <w:jc w:val="both"/>
            </w:pPr>
          </w:p>
          <w:p w:rsidR="00B7185A" w:rsidRDefault="00B7185A" w:rsidP="00CC4A78">
            <w:pPr>
              <w:jc w:val="both"/>
            </w:pPr>
            <w:r>
              <w:t>Es necesario tener presente que la comunidad escolar la conforman a todas aquellas personas involucradas con los procesos educativos (directivos, docentes, estudiantes, familias, comunidad, personal de intendencia, supervisores, etc.)</w:t>
            </w:r>
          </w:p>
          <w:p w:rsidR="00A57AC7" w:rsidRDefault="00A57AC7" w:rsidP="00CC4A78">
            <w:pPr>
              <w:jc w:val="both"/>
            </w:pPr>
          </w:p>
          <w:p w:rsidR="00A57AC7" w:rsidRPr="00A57AC7" w:rsidRDefault="00A57AC7" w:rsidP="00CC4A78">
            <w:pPr>
              <w:jc w:val="both"/>
              <w:rPr>
                <w:b/>
              </w:rPr>
            </w:pPr>
            <w:r w:rsidRPr="00A57AC7">
              <w:rPr>
                <w:b/>
              </w:rPr>
              <w:t>SIPINNA:</w:t>
            </w:r>
          </w:p>
          <w:p w:rsidR="00A57AC7" w:rsidRDefault="00A57AC7" w:rsidP="00CC4A78">
            <w:pPr>
              <w:jc w:val="both"/>
            </w:pPr>
            <w:r>
              <w:t xml:space="preserve">El reto es la Institucionalidad y Garantizar que los mecanismos formen parte de la participación de NNA. Obstáculos: no existe la diversificación de mecanismos y metodologías, las prácticas </w:t>
            </w:r>
            <w:proofErr w:type="spellStart"/>
            <w:r>
              <w:t>adultocentricas</w:t>
            </w:r>
            <w:proofErr w:type="spellEnd"/>
            <w:r>
              <w:t>.</w:t>
            </w:r>
          </w:p>
          <w:p w:rsidR="00A57AC7" w:rsidRDefault="00A57AC7" w:rsidP="00CC4A78">
            <w:pPr>
              <w:jc w:val="both"/>
            </w:pPr>
          </w:p>
          <w:p w:rsidR="00A57AC7" w:rsidRDefault="00A57AC7" w:rsidP="00CC4A78">
            <w:pPr>
              <w:jc w:val="both"/>
            </w:pPr>
            <w:r>
              <w:t>No hay mecanismos que rindan cuentas a la población y/o no están hechas para las edades correspondientes.</w:t>
            </w:r>
          </w:p>
          <w:p w:rsidR="00E836C8" w:rsidRDefault="00A57AC7" w:rsidP="00CC4A78">
            <w:pPr>
              <w:jc w:val="both"/>
            </w:pPr>
            <w:r>
              <w:t xml:space="preserve">Falta accesibilidad en la planeación de estos mecanismos. </w:t>
            </w:r>
            <w:r w:rsidR="00DD492F">
              <w:t xml:space="preserve">Así mismo considerar un diseño </w:t>
            </w:r>
            <w:r w:rsidR="008C728B">
              <w:t>universal de dichos mecanismos.</w:t>
            </w:r>
          </w:p>
          <w:p w:rsidR="008C728B" w:rsidRDefault="008C728B" w:rsidP="00CC4A78">
            <w:pPr>
              <w:jc w:val="both"/>
            </w:pPr>
          </w:p>
          <w:p w:rsidR="00E836C8" w:rsidRDefault="00E836C8" w:rsidP="00CC4A78">
            <w:pPr>
              <w:jc w:val="both"/>
              <w:rPr>
                <w:b/>
              </w:rPr>
            </w:pPr>
            <w:r w:rsidRPr="00E836C8">
              <w:rPr>
                <w:b/>
              </w:rPr>
              <w:lastRenderedPageBreak/>
              <w:t xml:space="preserve">CONAFE: </w:t>
            </w:r>
            <w:bookmarkStart w:id="0" w:name="_GoBack"/>
            <w:bookmarkEnd w:id="0"/>
          </w:p>
          <w:p w:rsidR="00E836C8" w:rsidRDefault="00E836C8" w:rsidP="00CC4A78">
            <w:pPr>
              <w:jc w:val="both"/>
            </w:pPr>
            <w:r>
              <w:t>Se cuestiono como se obtiene el presupuesto para implementar el Modelo ABCD</w:t>
            </w:r>
            <w:r w:rsidR="004043D2">
              <w:t xml:space="preserve"> y se explicó que se</w:t>
            </w:r>
            <w:r>
              <w:t xml:space="preserve"> mantuvo una conversación con el secretario de educación pública para generar incentivos para las figuras educativas que conforma esta dependencia.</w:t>
            </w:r>
          </w:p>
          <w:p w:rsidR="004043D2" w:rsidRDefault="004043D2" w:rsidP="00CC4A78">
            <w:pPr>
              <w:jc w:val="both"/>
            </w:pPr>
          </w:p>
          <w:p w:rsidR="004043D2" w:rsidRDefault="004043D2" w:rsidP="00CC4A78">
            <w:pPr>
              <w:jc w:val="both"/>
            </w:pPr>
            <w:r>
              <w:t xml:space="preserve">También se planteó si existen estrategias que permita la labor interinstitucional para garantizar el </w:t>
            </w:r>
            <w:r w:rsidR="002C70B6">
              <w:t>derecho a</w:t>
            </w:r>
            <w:r>
              <w:t xml:space="preserve"> la educación con dependencias tales como el </w:t>
            </w:r>
            <w:r w:rsidR="002C70B6">
              <w:t>INEA y</w:t>
            </w:r>
            <w:r>
              <w:t xml:space="preserve"> se comentó que el CONAFE cuenta</w:t>
            </w:r>
            <w:r w:rsidR="002C70B6">
              <w:t xml:space="preserve"> con un convenio con el CONAPRED para promover una promover una “capacitación” a sus figuras educativas.</w:t>
            </w:r>
          </w:p>
          <w:p w:rsidR="002C70B6" w:rsidRDefault="002C70B6" w:rsidP="00CC4A78">
            <w:pPr>
              <w:jc w:val="both"/>
            </w:pPr>
          </w:p>
          <w:p w:rsidR="00E836C8" w:rsidRPr="00E836C8" w:rsidRDefault="002C70B6" w:rsidP="00CC4A78">
            <w:pPr>
              <w:jc w:val="both"/>
            </w:pPr>
            <w:r>
              <w:t>El Modelo ABCD es considerado como un instrumento que promueve una atención personalizada, es decir, esta echo para la diversidad construyendo así una comunidad de aprendizaje.</w:t>
            </w:r>
          </w:p>
        </w:tc>
      </w:tr>
    </w:tbl>
    <w:p w:rsidR="00543BF9" w:rsidRDefault="00543BF9"/>
    <w:sectPr w:rsidR="00543BF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1D" w:rsidRDefault="00AF1B1D" w:rsidP="00DA47C4">
      <w:pPr>
        <w:spacing w:after="0" w:line="240" w:lineRule="auto"/>
      </w:pPr>
      <w:r>
        <w:separator/>
      </w:r>
    </w:p>
  </w:endnote>
  <w:endnote w:type="continuationSeparator" w:id="0">
    <w:p w:rsidR="00AF1B1D" w:rsidRDefault="00AF1B1D" w:rsidP="00DA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Piedepgina"/>
    </w:pPr>
    <w:r w:rsidRPr="005025BF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A9D3C3B" wp14:editId="4D1C4B85">
          <wp:simplePos x="0" y="0"/>
          <wp:positionH relativeFrom="margin">
            <wp:posOffset>5207635</wp:posOffset>
          </wp:positionH>
          <wp:positionV relativeFrom="paragraph">
            <wp:posOffset>2540</wp:posOffset>
          </wp:positionV>
          <wp:extent cx="929640" cy="467360"/>
          <wp:effectExtent l="0" t="0" r="3810" b="8890"/>
          <wp:wrapSquare wrapText="bothSides"/>
          <wp:docPr id="5" name="Imagen 5" descr="cid:2BB0271A-563A-45B4-B586-083A83FA7B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BB0271A-563A-45B4-B586-083A83FA7B41" descr="cid:2BB0271A-563A-45B4-B586-083A83FA7B4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4AC262EA" wp14:editId="1E597F14">
          <wp:simplePos x="0" y="0"/>
          <wp:positionH relativeFrom="column">
            <wp:posOffset>3929380</wp:posOffset>
          </wp:positionH>
          <wp:positionV relativeFrom="paragraph">
            <wp:posOffset>-47625</wp:posOffset>
          </wp:positionV>
          <wp:extent cx="1163955" cy="403860"/>
          <wp:effectExtent l="0" t="0" r="0" b="0"/>
          <wp:wrapSquare wrapText="bothSides"/>
          <wp:docPr id="4" name="Imagen 4" descr="http://www.crefal.org/images/menu/crefal_logo.8263d74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refal.org/images/menu/crefal_logo.8263d74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D52F8A8" wp14:editId="6319FD3A">
          <wp:simplePos x="0" y="0"/>
          <wp:positionH relativeFrom="margin">
            <wp:posOffset>2746375</wp:posOffset>
          </wp:positionH>
          <wp:positionV relativeFrom="paragraph">
            <wp:posOffset>-28575</wp:posOffset>
          </wp:positionV>
          <wp:extent cx="992505" cy="37338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BB46618" wp14:editId="52BD9563">
          <wp:simplePos x="0" y="0"/>
          <wp:positionH relativeFrom="column">
            <wp:posOffset>-626076</wp:posOffset>
          </wp:positionH>
          <wp:positionV relativeFrom="paragraph">
            <wp:posOffset>-148573</wp:posOffset>
          </wp:positionV>
          <wp:extent cx="3195955" cy="426720"/>
          <wp:effectExtent l="0" t="0" r="4445" b="0"/>
          <wp:wrapSquare wrapText="bothSides"/>
          <wp:docPr id="1026" name="Picture 2" descr="Logotipos de la Secretaría de Gobernación y del Consejo Nacional para Prevenir la Discriminación">
            <a:extLst xmlns:a="http://schemas.openxmlformats.org/drawingml/2006/main">
              <a:ext uri="{FF2B5EF4-FFF2-40B4-BE49-F238E27FC236}">
                <a16:creationId xmlns:a16="http://schemas.microsoft.com/office/drawing/2014/main" id="{DE7E5574-758D-4AB2-B8CB-947753EDA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s de la Secretaría de Gobernación y del Consejo Nacional para Prevenir la Discriminación">
                    <a:extLst>
                      <a:ext uri="{FF2B5EF4-FFF2-40B4-BE49-F238E27FC236}">
                        <a16:creationId xmlns:a16="http://schemas.microsoft.com/office/drawing/2014/main" id="{DE7E5574-758D-4AB2-B8CB-947753EDA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426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1D" w:rsidRDefault="00AF1B1D" w:rsidP="00DA47C4">
      <w:pPr>
        <w:spacing w:after="0" w:line="240" w:lineRule="auto"/>
      </w:pPr>
      <w:r>
        <w:separator/>
      </w:r>
    </w:p>
  </w:footnote>
  <w:footnote w:type="continuationSeparator" w:id="0">
    <w:p w:rsidR="00AF1B1D" w:rsidRDefault="00AF1B1D" w:rsidP="00DA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B3666F9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4163695" cy="8413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1A6B"/>
    <w:multiLevelType w:val="hybridMultilevel"/>
    <w:tmpl w:val="461C2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3710"/>
    <w:multiLevelType w:val="hybridMultilevel"/>
    <w:tmpl w:val="ED8EEE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07F37"/>
    <w:multiLevelType w:val="hybridMultilevel"/>
    <w:tmpl w:val="9DFE9E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C3B98"/>
    <w:multiLevelType w:val="hybridMultilevel"/>
    <w:tmpl w:val="05748F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4"/>
    <w:rsid w:val="000517ED"/>
    <w:rsid w:val="000606CE"/>
    <w:rsid w:val="00073158"/>
    <w:rsid w:val="00092ED3"/>
    <w:rsid w:val="000944EF"/>
    <w:rsid w:val="000B7895"/>
    <w:rsid w:val="000C118D"/>
    <w:rsid w:val="000D3C92"/>
    <w:rsid w:val="000D7326"/>
    <w:rsid w:val="000E0291"/>
    <w:rsid w:val="000F2E7B"/>
    <w:rsid w:val="000F3943"/>
    <w:rsid w:val="001141E7"/>
    <w:rsid w:val="00125E59"/>
    <w:rsid w:val="00162D0C"/>
    <w:rsid w:val="001659E2"/>
    <w:rsid w:val="001903A1"/>
    <w:rsid w:val="00195D2F"/>
    <w:rsid w:val="001A03F4"/>
    <w:rsid w:val="001C5178"/>
    <w:rsid w:val="0022212B"/>
    <w:rsid w:val="0023768A"/>
    <w:rsid w:val="00242E46"/>
    <w:rsid w:val="00254290"/>
    <w:rsid w:val="00264B8A"/>
    <w:rsid w:val="002A371A"/>
    <w:rsid w:val="002C69BA"/>
    <w:rsid w:val="002C70B6"/>
    <w:rsid w:val="002E75D9"/>
    <w:rsid w:val="00345CFA"/>
    <w:rsid w:val="00346C63"/>
    <w:rsid w:val="003473E9"/>
    <w:rsid w:val="00357245"/>
    <w:rsid w:val="00360423"/>
    <w:rsid w:val="00363E5B"/>
    <w:rsid w:val="003B5685"/>
    <w:rsid w:val="003F242D"/>
    <w:rsid w:val="004034A9"/>
    <w:rsid w:val="004043D2"/>
    <w:rsid w:val="00447FBD"/>
    <w:rsid w:val="0049114C"/>
    <w:rsid w:val="004967EC"/>
    <w:rsid w:val="004E246C"/>
    <w:rsid w:val="004E777D"/>
    <w:rsid w:val="004F1546"/>
    <w:rsid w:val="00533006"/>
    <w:rsid w:val="00543BF9"/>
    <w:rsid w:val="00590C68"/>
    <w:rsid w:val="005B105F"/>
    <w:rsid w:val="005E68EB"/>
    <w:rsid w:val="0060488A"/>
    <w:rsid w:val="00633F2B"/>
    <w:rsid w:val="00652887"/>
    <w:rsid w:val="00677EC8"/>
    <w:rsid w:val="00677FAE"/>
    <w:rsid w:val="00693F55"/>
    <w:rsid w:val="006A5A5D"/>
    <w:rsid w:val="006D42D9"/>
    <w:rsid w:val="006D56CD"/>
    <w:rsid w:val="006F4EEB"/>
    <w:rsid w:val="00706D6B"/>
    <w:rsid w:val="007074E5"/>
    <w:rsid w:val="00715749"/>
    <w:rsid w:val="00715A3C"/>
    <w:rsid w:val="0072452B"/>
    <w:rsid w:val="00762011"/>
    <w:rsid w:val="00782875"/>
    <w:rsid w:val="00783886"/>
    <w:rsid w:val="00874029"/>
    <w:rsid w:val="0089448B"/>
    <w:rsid w:val="008C728B"/>
    <w:rsid w:val="008E4506"/>
    <w:rsid w:val="008F282F"/>
    <w:rsid w:val="009101B2"/>
    <w:rsid w:val="00936FE1"/>
    <w:rsid w:val="00995753"/>
    <w:rsid w:val="009C5419"/>
    <w:rsid w:val="00A21678"/>
    <w:rsid w:val="00A21FB6"/>
    <w:rsid w:val="00A25D65"/>
    <w:rsid w:val="00A57AC7"/>
    <w:rsid w:val="00A94F73"/>
    <w:rsid w:val="00A96BF6"/>
    <w:rsid w:val="00AC4563"/>
    <w:rsid w:val="00AF1B1D"/>
    <w:rsid w:val="00B1762B"/>
    <w:rsid w:val="00B568F5"/>
    <w:rsid w:val="00B7185A"/>
    <w:rsid w:val="00B92440"/>
    <w:rsid w:val="00B97624"/>
    <w:rsid w:val="00BF4A63"/>
    <w:rsid w:val="00C443A1"/>
    <w:rsid w:val="00C52706"/>
    <w:rsid w:val="00C866C9"/>
    <w:rsid w:val="00CA64E1"/>
    <w:rsid w:val="00CC303F"/>
    <w:rsid w:val="00CC4A78"/>
    <w:rsid w:val="00CC7998"/>
    <w:rsid w:val="00CF16AB"/>
    <w:rsid w:val="00D12E5A"/>
    <w:rsid w:val="00D614CD"/>
    <w:rsid w:val="00D75CD3"/>
    <w:rsid w:val="00D90EE4"/>
    <w:rsid w:val="00D90FC3"/>
    <w:rsid w:val="00DA47C4"/>
    <w:rsid w:val="00DD3C5A"/>
    <w:rsid w:val="00DD492F"/>
    <w:rsid w:val="00DD60DA"/>
    <w:rsid w:val="00E509C3"/>
    <w:rsid w:val="00E8188C"/>
    <w:rsid w:val="00E836C8"/>
    <w:rsid w:val="00EB5E22"/>
    <w:rsid w:val="00EB7189"/>
    <w:rsid w:val="00EF24AD"/>
    <w:rsid w:val="00F24355"/>
    <w:rsid w:val="00F34434"/>
    <w:rsid w:val="00F54AA8"/>
    <w:rsid w:val="00FC3548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B3458-3775-4813-A64E-B2CAB1D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C4"/>
  </w:style>
  <w:style w:type="paragraph" w:styleId="Piedepgina">
    <w:name w:val="footer"/>
    <w:basedOn w:val="Normal"/>
    <w:link w:val="Piedepgina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C4"/>
  </w:style>
  <w:style w:type="paragraph" w:styleId="Ttulo">
    <w:name w:val="Title"/>
    <w:basedOn w:val="Normal"/>
    <w:next w:val="Normal"/>
    <w:link w:val="TtuloCar"/>
    <w:uiPriority w:val="10"/>
    <w:qFormat/>
    <w:rsid w:val="00DA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DA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2BB0271A-563A-45B4-B586-083A83FA7B41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Adelina Gonzalez Marín</cp:lastModifiedBy>
  <cp:revision>2</cp:revision>
  <cp:lastPrinted>2018-03-06T17:04:00Z</cp:lastPrinted>
  <dcterms:created xsi:type="dcterms:W3CDTF">2018-03-27T20:26:00Z</dcterms:created>
  <dcterms:modified xsi:type="dcterms:W3CDTF">2018-03-27T20:26:00Z</dcterms:modified>
</cp:coreProperties>
</file>